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78" w:rsidRPr="00521578" w:rsidRDefault="00521578" w:rsidP="00521578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r w:rsidRPr="00521578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Nejvyššího správního soudu ze dne 31.10.2012, </w:t>
      </w:r>
      <w:proofErr w:type="gramStart"/>
      <w:r w:rsidRPr="00521578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521578">
        <w:rPr>
          <w:rFonts w:ascii="Arial" w:eastAsia="Times New Roman" w:hAnsi="Arial" w:cs="Arial"/>
          <w:b/>
          <w:bCs/>
          <w:color w:val="000000"/>
          <w:lang w:eastAsia="cs-CZ"/>
        </w:rPr>
        <w:t xml:space="preserve"> 4 As 44/2012 - 29</w:t>
      </w:r>
    </w:p>
    <w:bookmarkEnd w:id="0"/>
    <w:p w:rsidR="00521578" w:rsidRPr="00521578" w:rsidRDefault="00521578" w:rsidP="005215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(společné části domu - balkón v budově ve spoluvlastnictví vlastníků bytů)</w:t>
      </w:r>
    </w:p>
    <w:p w:rsidR="00521578" w:rsidRPr="00521578" w:rsidRDefault="00521578" w:rsidP="00521578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521578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521578" w:rsidRPr="00521578" w:rsidRDefault="00521578" w:rsidP="00521578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521578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521578" w:rsidRPr="00521578" w:rsidRDefault="00521578" w:rsidP="00521578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521578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521578" w:rsidRPr="00521578" w:rsidRDefault="00521578" w:rsidP="00521578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Nejvyššího správního soudu ze dne 31.10.2012, </w:t>
      </w:r>
      <w:proofErr w:type="gramStart"/>
      <w:r w:rsidRPr="00521578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521578">
        <w:rPr>
          <w:rFonts w:ascii="Arial" w:eastAsia="Times New Roman" w:hAnsi="Arial" w:cs="Arial"/>
          <w:b/>
          <w:bCs/>
          <w:color w:val="000000"/>
          <w:lang w:eastAsia="cs-CZ"/>
        </w:rPr>
        <w:t xml:space="preserve"> 4 As 44/2012 - 29</w:t>
      </w:r>
    </w:p>
    <w:p w:rsidR="00521578" w:rsidRPr="00521578" w:rsidRDefault="00521578" w:rsidP="00521578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dostupný na </w:t>
      </w:r>
      <w:hyperlink r:id="rId4" w:history="1">
        <w:r w:rsidRPr="00521578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cs-CZ"/>
          </w:rPr>
          <w:t>www.nssoud.cz</w:t>
        </w:r>
      </w:hyperlink>
    </w:p>
    <w:p w:rsidR="00521578" w:rsidRPr="00521578" w:rsidRDefault="00521578" w:rsidP="00521578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stavební řízení: stavební úpravy - zateplení obvodového pláště bytového domu, společné části domu, balkón v budově ve spoluvlastnictví vlastníků bytů, příslušenství bytové jednotky, účastník řízení</w:t>
      </w:r>
    </w:p>
    <w:p w:rsidR="00521578" w:rsidRPr="00521578" w:rsidRDefault="00521578" w:rsidP="00521578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 xml:space="preserve">§ 109 odst. 1 písm. b), g) zákona č. 183/2006 Sb., o územním plánování a stavebním řádu (stavební zákon), ve znění do </w:t>
      </w:r>
      <w:proofErr w:type="gramStart"/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31.12.2012</w:t>
      </w:r>
      <w:proofErr w:type="gramEnd"/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, § 2 písm. g) zákona č. 72/1994 Sb., kterým se upravují některé spoluvlastnické vztahy k budovám a některé vlastnické vztahy k bytům a nebytovým prostorům a doplňují některé zákony (zákon o vlastnictví bytů), ve znění pozdějších předpisů</w:t>
      </w:r>
    </w:p>
    <w:p w:rsidR="00521578" w:rsidRPr="00521578" w:rsidRDefault="00521578" w:rsidP="00521578">
      <w:pPr>
        <w:shd w:val="clear" w:color="auto" w:fill="FFFFFF"/>
        <w:spacing w:before="60" w:after="0" w:line="225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color w:val="000000"/>
          <w:lang w:eastAsia="cs-CZ"/>
        </w:rPr>
        <w:t>V rozsudku je mj. uvedeno:</w:t>
      </w:r>
    </w:p>
    <w:p w:rsidR="00521578" w:rsidRPr="00521578" w:rsidRDefault="00521578" w:rsidP="00521578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color w:val="000000"/>
          <w:lang w:eastAsia="cs-CZ"/>
        </w:rPr>
        <w:t>Definici společných částí domu podává ustanovení § 2 písm. g) zákona o vlastnictví bytů, podle kterého </w:t>
      </w: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pro účely tohoto zákona se rozumí společnými částmi domu části domu určené pro společné užívání, zejména základy, střecha, hlavní svislé a vodorovné konstrukce, vchody, schodiště, chodby, balkóny, terasy, prádelny, sušárny, kočárkárny, kotelny, komíny, výměníky tepla, rozvody tepla, rozvody teplé a studené vody, kanalizace, plynu, elektřiny, vzduchotechniky, výtahy, hromosvody, společné antény, a to i když jsou umístěny mimo dům; dále se za společné části domu považují příslušenství domu (například drobné stavby) a společná zařízení domu (například vybavení společné prádelny).</w:t>
      </w:r>
    </w:p>
    <w:p w:rsidR="00521578" w:rsidRPr="00521578" w:rsidRDefault="00521578" w:rsidP="00521578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color w:val="000000"/>
          <w:lang w:eastAsia="cs-CZ"/>
        </w:rPr>
        <w:t>Z principu právní jistoty a bezrozpornosti právního řádu se odvozuje požadavek jednotného výkladu stejných právních pojmů uplatněných v různých právních normách. Jakkoliv je tedy definice společných částí domu v zákoně o vlastnictví bytů určena </w:t>
      </w: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pro účely tohoto zákona</w:t>
      </w:r>
      <w:r w:rsidRPr="00521578">
        <w:rPr>
          <w:rFonts w:ascii="Arial" w:eastAsia="Times New Roman" w:hAnsi="Arial" w:cs="Arial"/>
          <w:color w:val="000000"/>
          <w:lang w:eastAsia="cs-CZ"/>
        </w:rPr>
        <w:t>, Nejvyšší správní soud má za to, že pojem </w:t>
      </w: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„společné části domu“ </w:t>
      </w:r>
      <w:r w:rsidRPr="00521578">
        <w:rPr>
          <w:rFonts w:ascii="Arial" w:eastAsia="Times New Roman" w:hAnsi="Arial" w:cs="Arial"/>
          <w:color w:val="000000"/>
          <w:lang w:eastAsia="cs-CZ"/>
        </w:rPr>
        <w:t>obsažený ve stavebním zákoně musí být vykládán shodně. Ostatně stavební zákon v poznámce pod čarou k § 109 odst. 1 písm. g) přímo na zákon o vlastnictví bytů odkazuje, byť v jiné souvislosti.</w:t>
      </w:r>
    </w:p>
    <w:p w:rsidR="00521578" w:rsidRPr="00521578" w:rsidRDefault="00521578" w:rsidP="00521578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color w:val="000000"/>
          <w:lang w:eastAsia="cs-CZ"/>
        </w:rPr>
        <w:t>Za rozhodující kritérium pro určení, zda se jedná o společnou část domu, či nikoliv, Nejvyšší správní soud považuje skutečnost, zda tato část domu je či není určena pro společné užívání. V tomto kontextu je nutné vykládat i demonstrativní výčet společných částí domu uvedený v citovaném ustanovení zákona o vlastnictví bytů. Jinými slovy, ve výčtu zmíněný balkón lze označit za společnou část domu jen za předpokladu, že je určen pro společné užívání.</w:t>
      </w:r>
    </w:p>
    <w:p w:rsidR="00521578" w:rsidRPr="00521578" w:rsidRDefault="00521578" w:rsidP="00521578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color w:val="000000"/>
          <w:lang w:eastAsia="cs-CZ"/>
        </w:rPr>
        <w:t xml:space="preserve">V rozsudku ze dne 21. 12. 2005, </w:t>
      </w:r>
      <w:proofErr w:type="gramStart"/>
      <w:r w:rsidRPr="00521578">
        <w:rPr>
          <w:rFonts w:ascii="Arial" w:eastAsia="Times New Roman" w:hAnsi="Arial" w:cs="Arial"/>
          <w:color w:val="000000"/>
          <w:lang w:eastAsia="cs-CZ"/>
        </w:rPr>
        <w:t>č.j.</w:t>
      </w:r>
      <w:proofErr w:type="gramEnd"/>
      <w:r w:rsidRPr="00521578">
        <w:rPr>
          <w:rFonts w:ascii="Arial" w:eastAsia="Times New Roman" w:hAnsi="Arial" w:cs="Arial"/>
          <w:color w:val="000000"/>
          <w:lang w:eastAsia="cs-CZ"/>
        </w:rPr>
        <w:t xml:space="preserve"> 1 As 2/2004 - 214, který je dostupný na </w:t>
      </w:r>
      <w:r w:rsidRPr="00521578">
        <w:rPr>
          <w:rFonts w:ascii="Arial" w:eastAsia="Times New Roman" w:hAnsi="Arial" w:cs="Arial"/>
          <w:color w:val="0000FF"/>
          <w:lang w:eastAsia="cs-CZ"/>
        </w:rPr>
        <w:t>www.nssoud.cz</w:t>
      </w:r>
      <w:r w:rsidRPr="00521578">
        <w:rPr>
          <w:rFonts w:ascii="Arial" w:eastAsia="Times New Roman" w:hAnsi="Arial" w:cs="Arial"/>
          <w:color w:val="000000"/>
          <w:lang w:eastAsia="cs-CZ"/>
        </w:rPr>
        <w:t>, Nejvyšší správní soud vyslovil, že </w:t>
      </w: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„…balkón v budově ve spoluvlastnictví vlastníků</w:t>
      </w:r>
      <w:r w:rsidRPr="00521578">
        <w:rPr>
          <w:rFonts w:ascii="Arial" w:eastAsia="Times New Roman" w:hAnsi="Arial" w:cs="Arial"/>
          <w:color w:val="000000"/>
          <w:lang w:eastAsia="cs-CZ"/>
        </w:rPr>
        <w:t> </w:t>
      </w: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bytů může být podle okolností spočívajících v účelu jeho užívání buď součástí společných částí domu ve vlastnictví</w:t>
      </w:r>
      <w:r w:rsidRPr="00521578">
        <w:rPr>
          <w:rFonts w:ascii="Arial" w:eastAsia="Times New Roman" w:hAnsi="Arial" w:cs="Arial"/>
          <w:color w:val="000000"/>
          <w:lang w:eastAsia="cs-CZ"/>
        </w:rPr>
        <w:t> </w:t>
      </w: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vlastníků všech bytových jednotek (popřípadě ve vlastnictví vlastníků několika bytových jednotek), anebo může</w:t>
      </w:r>
      <w:r w:rsidRPr="00521578">
        <w:rPr>
          <w:rFonts w:ascii="Arial" w:eastAsia="Times New Roman" w:hAnsi="Arial" w:cs="Arial"/>
          <w:color w:val="000000"/>
          <w:lang w:eastAsia="cs-CZ"/>
        </w:rPr>
        <w:t> </w:t>
      </w: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být ve vlastnictví vlastníka bytové jednotky jako příslušenství bytu. Jestliže ve smlouvě o převodu vlastnictví bytu a spoluvlastnického podílu k pozemku uzavřené mezi SBD a žalobkyní je předmětný balkón, přístupný pouze z bytu žalobkyně, vymezen jako součást převáděné jednotky, tvoří tak příslušenství bytu a spolu s převáděným bytem se tak stal vlastnictvím žalobkyně. Předmětem převáděného spoluvlastnického podílu na společných částech domu jsou pouze balkóny a lodžie přímo přístupné ze společných částí domu a jen ve vztahu k nim je žalobkyně jejich spoluvlastnicí společně s ostatními vlastníky bytových jednotek…“</w:t>
      </w:r>
      <w:r w:rsidRPr="00521578">
        <w:rPr>
          <w:rFonts w:ascii="Arial" w:eastAsia="Times New Roman" w:hAnsi="Arial" w:cs="Arial"/>
          <w:color w:val="000000"/>
          <w:lang w:eastAsia="cs-CZ"/>
        </w:rPr>
        <w:t>.</w:t>
      </w:r>
    </w:p>
    <w:p w:rsidR="00521578" w:rsidRPr="00521578" w:rsidRDefault="00521578" w:rsidP="00521578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color w:val="000000"/>
          <w:lang w:eastAsia="cs-CZ"/>
        </w:rPr>
        <w:t>Nejvyšší správní soud neshledal důvod se od tohoto právního názoru odchýlit. Přestože názorům prezentovaným v kasační stížnosti nelze upřít jistou míru racionality, Nejvyšší správní soud zdůrazňuje, že zákonná definice pojmu </w:t>
      </w: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„společné části domu“</w:t>
      </w:r>
      <w:r w:rsidRPr="00521578">
        <w:rPr>
          <w:rFonts w:ascii="Arial" w:eastAsia="Times New Roman" w:hAnsi="Arial" w:cs="Arial"/>
          <w:color w:val="000000"/>
          <w:lang w:eastAsia="cs-CZ"/>
        </w:rPr>
        <w:t>, založená na účelu jejich užívání, jinou interpretaci neumožňuje. Je-li balkón přístupný jen z jedné bytové jednotky a slouží-li k užívání pouze vlastníku této jednotky, nikoli vlastníkům ostatních jednotek v domě, nelze výkladem dospět k tomu, že se jedná o společnou část domu.</w:t>
      </w:r>
    </w:p>
    <w:p w:rsidR="00521578" w:rsidRPr="00521578" w:rsidRDefault="00521578" w:rsidP="00521578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color w:val="000000"/>
          <w:lang w:eastAsia="cs-CZ"/>
        </w:rPr>
        <w:t xml:space="preserve">Také Ústavní soud v usnesení ze dne 8. 12. 2004, </w:t>
      </w:r>
      <w:proofErr w:type="spellStart"/>
      <w:r w:rsidRPr="00521578">
        <w:rPr>
          <w:rFonts w:ascii="Arial" w:eastAsia="Times New Roman" w:hAnsi="Arial" w:cs="Arial"/>
          <w:color w:val="000000"/>
          <w:lang w:eastAsia="cs-CZ"/>
        </w:rPr>
        <w:t>sp</w:t>
      </w:r>
      <w:proofErr w:type="spellEnd"/>
      <w:r w:rsidRPr="00521578">
        <w:rPr>
          <w:rFonts w:ascii="Arial" w:eastAsia="Times New Roman" w:hAnsi="Arial" w:cs="Arial"/>
          <w:color w:val="000000"/>
          <w:lang w:eastAsia="cs-CZ"/>
        </w:rPr>
        <w:t>. zn. III. ÚS 23/04, které je dostupné na </w:t>
      </w:r>
      <w:r w:rsidRPr="00521578">
        <w:rPr>
          <w:rFonts w:ascii="Arial" w:eastAsia="Times New Roman" w:hAnsi="Arial" w:cs="Arial"/>
          <w:color w:val="0000FF"/>
          <w:lang w:eastAsia="cs-CZ"/>
        </w:rPr>
        <w:t>www.nalus.usoud.cz</w:t>
      </w:r>
      <w:r w:rsidRPr="00521578">
        <w:rPr>
          <w:rFonts w:ascii="Arial" w:eastAsia="Times New Roman" w:hAnsi="Arial" w:cs="Arial"/>
          <w:color w:val="000000"/>
          <w:lang w:eastAsia="cs-CZ"/>
        </w:rPr>
        <w:t>, konstatoval, že </w:t>
      </w: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„… společné části domu </w:t>
      </w:r>
      <w:r w:rsidRPr="00521578">
        <w:rPr>
          <w:rFonts w:ascii="Arial" w:eastAsia="Times New Roman" w:hAnsi="Arial" w:cs="Arial"/>
          <w:color w:val="000000"/>
          <w:lang w:eastAsia="cs-CZ"/>
        </w:rPr>
        <w:t>[jsou] </w:t>
      </w: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 xml:space="preserve">upraveny jako části </w:t>
      </w:r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lastRenderedPageBreak/>
        <w:t xml:space="preserve">určené pro společné užívání, jejichž </w:t>
      </w:r>
      <w:proofErr w:type="spellStart"/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>příkladmý</w:t>
      </w:r>
      <w:proofErr w:type="spellEnd"/>
      <w:r w:rsidRPr="00521578">
        <w:rPr>
          <w:rFonts w:ascii="Arial" w:eastAsia="Times New Roman" w:hAnsi="Arial" w:cs="Arial"/>
          <w:i/>
          <w:iCs/>
          <w:color w:val="000000"/>
          <w:lang w:eastAsia="cs-CZ"/>
        </w:rPr>
        <w:t xml:space="preserve"> výčet je dále uveden. Vyjmenované prostory však jsou společnými částmi domu, jen pokud slouží společnému užívání a jsou k tomuto užívání určeny, v opačném případě nikoliv.“</w:t>
      </w:r>
    </w:p>
    <w:p w:rsidR="00521578" w:rsidRPr="00521578" w:rsidRDefault="00521578" w:rsidP="00521578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color w:val="000000"/>
          <w:lang w:eastAsia="cs-CZ"/>
        </w:rPr>
        <w:t>Z hlediska zákonné definice společných částí domu zůstává bez vlivu tvrzení stěžovatele, že balkón je součástí vnějšího (obvodového) pláště budovy, neboť tato skutečnost se nijak neprojevuje ve způsobu užívání balkónu.</w:t>
      </w:r>
    </w:p>
    <w:p w:rsidR="00521578" w:rsidRPr="00521578" w:rsidRDefault="00521578" w:rsidP="00521578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521578">
        <w:rPr>
          <w:rFonts w:ascii="Arial" w:eastAsia="Times New Roman" w:hAnsi="Arial" w:cs="Arial"/>
          <w:color w:val="000000"/>
          <w:lang w:eastAsia="cs-CZ"/>
        </w:rPr>
        <w:t>V projednávané věci se stavební řízení týká mimo jiné balkónu, který je přístupný pouze z bytové jednotky ve vlastnictví žalobkyně a který tvoří příslušenství této bytové jednotky. Tento balkón slouží k individuálnímu užívání žalobkyni; není určen ke společnému užívání, tudíž nemůže být společnou částí domu. Ve vztahu k tomuto balkónu proto nelze použít ustanovení § 109 odst. 1 písm. g) stavebního zákona a žalobkyni, která je vlastníkem stavby (balkónu tvořícího příslušenství její bytové jednotky), náleží postavení účastníka stavebního řízení podle § 109 odst. 1 písm. b) stavebního zákona.</w:t>
      </w:r>
    </w:p>
    <w:p w:rsidR="003B176A" w:rsidRDefault="003B176A"/>
    <w:sectPr w:rsidR="003B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78"/>
    <w:rsid w:val="003B176A"/>
    <w:rsid w:val="0052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734FA-3334-4D8E-8F6E-74823DE7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215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5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1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ou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2021-01-11T15:20:00Z</dcterms:created>
  <dcterms:modified xsi:type="dcterms:W3CDTF">2021-01-11T15:20:00Z</dcterms:modified>
</cp:coreProperties>
</file>