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B4" w:rsidRPr="006470B4" w:rsidRDefault="006470B4" w:rsidP="006470B4">
      <w:pPr>
        <w:pBdr>
          <w:top w:val="single" w:sz="18" w:space="5" w:color="6BC700"/>
          <w:left w:val="single" w:sz="2" w:space="8" w:color="6BC700"/>
          <w:bottom w:val="single" w:sz="12" w:space="5" w:color="6BC700"/>
          <w:right w:val="single" w:sz="2" w:space="9" w:color="6BC700"/>
        </w:pBdr>
        <w:shd w:val="clear" w:color="auto" w:fill="EFEFF1"/>
        <w:spacing w:after="240" w:line="240" w:lineRule="auto"/>
        <w:ind w:left="-345" w:right="-225"/>
        <w:outlineLvl w:val="1"/>
        <w:rPr>
          <w:rFonts w:ascii="Arial" w:eastAsia="Times New Roman" w:hAnsi="Arial" w:cs="Arial"/>
          <w:b/>
          <w:bCs/>
          <w:color w:val="000000"/>
          <w:lang w:eastAsia="cs-CZ"/>
        </w:rPr>
      </w:pPr>
      <w:bookmarkStart w:id="0" w:name="_GoBack"/>
      <w:r w:rsidRPr="006470B4">
        <w:rPr>
          <w:rFonts w:ascii="Arial" w:eastAsia="Times New Roman" w:hAnsi="Arial" w:cs="Arial"/>
          <w:b/>
          <w:bCs/>
          <w:color w:val="000000"/>
          <w:lang w:eastAsia="cs-CZ"/>
        </w:rPr>
        <w:t xml:space="preserve">Rozsudek Nejvyššího správního soudu ze dne 19.6.2009, </w:t>
      </w:r>
      <w:proofErr w:type="gramStart"/>
      <w:r w:rsidRPr="006470B4">
        <w:rPr>
          <w:rFonts w:ascii="Arial" w:eastAsia="Times New Roman" w:hAnsi="Arial" w:cs="Arial"/>
          <w:b/>
          <w:bCs/>
          <w:color w:val="000000"/>
          <w:lang w:eastAsia="cs-CZ"/>
        </w:rPr>
        <w:t>č.j.</w:t>
      </w:r>
      <w:proofErr w:type="gramEnd"/>
      <w:r w:rsidRPr="006470B4">
        <w:rPr>
          <w:rFonts w:ascii="Arial" w:eastAsia="Times New Roman" w:hAnsi="Arial" w:cs="Arial"/>
          <w:b/>
          <w:bCs/>
          <w:color w:val="000000"/>
          <w:lang w:eastAsia="cs-CZ"/>
        </w:rPr>
        <w:t xml:space="preserve"> 5 As 67/2008 - 111</w:t>
      </w:r>
    </w:p>
    <w:bookmarkEnd w:id="0"/>
    <w:p w:rsidR="006470B4" w:rsidRPr="006470B4" w:rsidRDefault="006470B4" w:rsidP="006470B4">
      <w:pPr>
        <w:shd w:val="clear" w:color="auto" w:fill="FFFFFF"/>
        <w:spacing w:after="0" w:line="240" w:lineRule="auto"/>
        <w:rPr>
          <w:rFonts w:ascii="Arial" w:eastAsia="Times New Roman" w:hAnsi="Arial" w:cs="Arial"/>
          <w:b/>
          <w:bCs/>
          <w:color w:val="000000"/>
          <w:sz w:val="19"/>
          <w:szCs w:val="19"/>
          <w:lang w:eastAsia="cs-CZ"/>
        </w:rPr>
      </w:pPr>
      <w:r w:rsidRPr="006470B4">
        <w:rPr>
          <w:rFonts w:ascii="Arial" w:eastAsia="Times New Roman" w:hAnsi="Arial" w:cs="Arial"/>
          <w:b/>
          <w:bCs/>
          <w:color w:val="000000"/>
          <w:sz w:val="19"/>
          <w:szCs w:val="19"/>
          <w:lang w:eastAsia="cs-CZ"/>
        </w:rPr>
        <w:t>(vymezování okruhu účastníků řízení - pojem přímé dotčení pozemku nebo stavby)</w:t>
      </w:r>
    </w:p>
    <w:p w:rsidR="006470B4" w:rsidRPr="006470B4" w:rsidRDefault="006470B4" w:rsidP="006470B4">
      <w:pPr>
        <w:shd w:val="clear" w:color="auto" w:fill="FFFFFF"/>
        <w:spacing w:after="0" w:line="1" w:lineRule="atLeast"/>
        <w:rPr>
          <w:rFonts w:ascii="Arial" w:eastAsia="Times New Roman" w:hAnsi="Arial" w:cs="Arial"/>
          <w:color w:val="000000"/>
          <w:sz w:val="9"/>
          <w:szCs w:val="9"/>
          <w:lang w:eastAsia="cs-CZ"/>
        </w:rPr>
      </w:pPr>
      <w:r w:rsidRPr="006470B4">
        <w:rPr>
          <w:rFonts w:ascii="Arial" w:eastAsia="Times New Roman" w:hAnsi="Arial" w:cs="Arial"/>
          <w:color w:val="000000"/>
          <w:sz w:val="9"/>
          <w:szCs w:val="9"/>
          <w:lang w:eastAsia="cs-CZ"/>
        </w:rPr>
        <w:t> </w:t>
      </w:r>
    </w:p>
    <w:p w:rsidR="006470B4" w:rsidRPr="006470B4" w:rsidRDefault="006470B4" w:rsidP="006470B4">
      <w:pPr>
        <w:shd w:val="clear" w:color="auto" w:fill="FFFFFF"/>
        <w:spacing w:after="0" w:line="1" w:lineRule="atLeast"/>
        <w:rPr>
          <w:rFonts w:ascii="Arial" w:eastAsia="Times New Roman" w:hAnsi="Arial" w:cs="Arial"/>
          <w:color w:val="000000"/>
          <w:sz w:val="9"/>
          <w:szCs w:val="9"/>
          <w:lang w:eastAsia="cs-CZ"/>
        </w:rPr>
      </w:pPr>
      <w:r w:rsidRPr="006470B4">
        <w:rPr>
          <w:rFonts w:ascii="Arial" w:eastAsia="Times New Roman" w:hAnsi="Arial" w:cs="Arial"/>
          <w:color w:val="000000"/>
          <w:sz w:val="9"/>
          <w:szCs w:val="9"/>
          <w:lang w:eastAsia="cs-CZ"/>
        </w:rPr>
        <w:t> </w:t>
      </w:r>
    </w:p>
    <w:p w:rsidR="006470B4" w:rsidRPr="006470B4" w:rsidRDefault="006470B4" w:rsidP="006470B4">
      <w:pPr>
        <w:shd w:val="clear" w:color="auto" w:fill="FFFFFF"/>
        <w:spacing w:after="0" w:line="1" w:lineRule="atLeast"/>
        <w:rPr>
          <w:rFonts w:ascii="Arial" w:eastAsia="Times New Roman" w:hAnsi="Arial" w:cs="Arial"/>
          <w:color w:val="000000"/>
          <w:sz w:val="9"/>
          <w:szCs w:val="9"/>
          <w:lang w:eastAsia="cs-CZ"/>
        </w:rPr>
      </w:pPr>
      <w:r w:rsidRPr="006470B4">
        <w:rPr>
          <w:rFonts w:ascii="Arial" w:eastAsia="Times New Roman" w:hAnsi="Arial" w:cs="Arial"/>
          <w:color w:val="000000"/>
          <w:sz w:val="9"/>
          <w:szCs w:val="9"/>
          <w:lang w:eastAsia="cs-CZ"/>
        </w:rPr>
        <w:t> </w:t>
      </w:r>
    </w:p>
    <w:p w:rsidR="006470B4" w:rsidRPr="006470B4" w:rsidRDefault="006470B4" w:rsidP="006470B4">
      <w:pPr>
        <w:shd w:val="clear" w:color="auto" w:fill="FFFFFF"/>
        <w:spacing w:before="60" w:after="0" w:line="240" w:lineRule="auto"/>
        <w:rPr>
          <w:rFonts w:ascii="Arial" w:eastAsia="Times New Roman" w:hAnsi="Arial" w:cs="Arial"/>
          <w:color w:val="000000"/>
          <w:sz w:val="19"/>
          <w:szCs w:val="19"/>
          <w:lang w:eastAsia="cs-CZ"/>
        </w:rPr>
      </w:pPr>
      <w:hyperlink r:id="rId4" w:history="1">
        <w:r w:rsidRPr="006470B4">
          <w:rPr>
            <w:rFonts w:ascii="Arial" w:eastAsia="Times New Roman" w:hAnsi="Arial" w:cs="Arial"/>
            <w:color w:val="0000FF"/>
            <w:sz w:val="20"/>
            <w:szCs w:val="20"/>
            <w:u w:val="single"/>
            <w:lang w:eastAsia="cs-CZ"/>
          </w:rPr>
          <w:t>Publikováno ve Sbírce rozhodnutí Nejvyššího správního soudu č.4/2010; rozhodnutí č. 2029</w:t>
        </w:r>
      </w:hyperlink>
    </w:p>
    <w:p w:rsidR="006470B4" w:rsidRPr="006470B4" w:rsidRDefault="006470B4" w:rsidP="006470B4">
      <w:pPr>
        <w:shd w:val="clear" w:color="auto" w:fill="FFFFFF"/>
        <w:spacing w:before="60" w:after="0" w:line="225" w:lineRule="atLeast"/>
        <w:rPr>
          <w:rFonts w:ascii="Arial" w:eastAsia="Times New Roman" w:hAnsi="Arial" w:cs="Arial"/>
          <w:color w:val="000000"/>
          <w:sz w:val="19"/>
          <w:szCs w:val="19"/>
          <w:lang w:eastAsia="cs-CZ"/>
        </w:rPr>
      </w:pPr>
      <w:r w:rsidRPr="006470B4">
        <w:rPr>
          <w:rFonts w:ascii="Arial" w:eastAsia="Times New Roman" w:hAnsi="Arial" w:cs="Arial"/>
          <w:i/>
          <w:iCs/>
          <w:color w:val="000000"/>
          <w:sz w:val="20"/>
          <w:szCs w:val="20"/>
          <w:lang w:eastAsia="cs-CZ"/>
        </w:rPr>
        <w:t>dostupný na </w:t>
      </w:r>
      <w:hyperlink r:id="rId5" w:history="1">
        <w:r w:rsidRPr="006470B4">
          <w:rPr>
            <w:rFonts w:ascii="Arial" w:eastAsia="Times New Roman" w:hAnsi="Arial" w:cs="Arial"/>
            <w:i/>
            <w:iCs/>
            <w:color w:val="0000FF"/>
            <w:sz w:val="20"/>
            <w:szCs w:val="20"/>
            <w:u w:val="single"/>
            <w:lang w:eastAsia="cs-CZ"/>
          </w:rPr>
          <w:t>www.nssoud.cz</w:t>
        </w:r>
      </w:hyperlink>
    </w:p>
    <w:p w:rsidR="006470B4" w:rsidRPr="006470B4" w:rsidRDefault="006470B4" w:rsidP="006470B4">
      <w:pPr>
        <w:shd w:val="clear" w:color="auto" w:fill="FFFFFF"/>
        <w:spacing w:before="60" w:after="0" w:line="225" w:lineRule="atLeast"/>
        <w:rPr>
          <w:rFonts w:ascii="Arial" w:eastAsia="Times New Roman" w:hAnsi="Arial" w:cs="Arial"/>
          <w:color w:val="000000"/>
          <w:sz w:val="19"/>
          <w:szCs w:val="19"/>
          <w:lang w:eastAsia="cs-CZ"/>
        </w:rPr>
      </w:pPr>
      <w:r w:rsidRPr="006470B4">
        <w:rPr>
          <w:rFonts w:ascii="Arial" w:eastAsia="Times New Roman" w:hAnsi="Arial" w:cs="Arial"/>
          <w:color w:val="000000"/>
          <w:sz w:val="20"/>
          <w:szCs w:val="20"/>
          <w:lang w:eastAsia="cs-CZ"/>
        </w:rPr>
        <w:t>stavební řízení: účastenství v řízení</w:t>
      </w:r>
    </w:p>
    <w:p w:rsidR="006470B4" w:rsidRPr="006470B4" w:rsidRDefault="006470B4" w:rsidP="006470B4">
      <w:pPr>
        <w:shd w:val="clear" w:color="auto" w:fill="FFFFFF"/>
        <w:spacing w:before="60" w:after="0" w:line="225" w:lineRule="atLeast"/>
        <w:rPr>
          <w:rFonts w:ascii="Arial" w:eastAsia="Times New Roman" w:hAnsi="Arial" w:cs="Arial"/>
          <w:color w:val="000000"/>
          <w:sz w:val="19"/>
          <w:szCs w:val="19"/>
          <w:lang w:eastAsia="cs-CZ"/>
        </w:rPr>
      </w:pPr>
      <w:r w:rsidRPr="006470B4">
        <w:rPr>
          <w:rFonts w:ascii="Arial" w:eastAsia="Times New Roman" w:hAnsi="Arial" w:cs="Arial"/>
          <w:i/>
          <w:iCs/>
          <w:color w:val="000000"/>
          <w:sz w:val="20"/>
          <w:szCs w:val="20"/>
          <w:lang w:eastAsia="cs-CZ"/>
        </w:rPr>
        <w:t xml:space="preserve">§ 109 odst. 1 písm. e) zákona č. 183/2006 Sb., o územním plánování a stavebním řádu (stavební zákon), ve znění do </w:t>
      </w:r>
      <w:proofErr w:type="gramStart"/>
      <w:r w:rsidRPr="006470B4">
        <w:rPr>
          <w:rFonts w:ascii="Arial" w:eastAsia="Times New Roman" w:hAnsi="Arial" w:cs="Arial"/>
          <w:i/>
          <w:iCs/>
          <w:color w:val="000000"/>
          <w:sz w:val="20"/>
          <w:szCs w:val="20"/>
          <w:lang w:eastAsia="cs-CZ"/>
        </w:rPr>
        <w:t>31.12.2012</w:t>
      </w:r>
      <w:proofErr w:type="gramEnd"/>
    </w:p>
    <w:p w:rsidR="006470B4" w:rsidRPr="006470B4" w:rsidRDefault="006470B4" w:rsidP="006470B4">
      <w:pPr>
        <w:shd w:val="clear" w:color="auto" w:fill="FFFFFF"/>
        <w:spacing w:before="60" w:after="0" w:line="225" w:lineRule="atLeast"/>
        <w:rPr>
          <w:rFonts w:ascii="Arial" w:eastAsia="Times New Roman" w:hAnsi="Arial" w:cs="Arial"/>
          <w:color w:val="000000"/>
          <w:sz w:val="19"/>
          <w:szCs w:val="19"/>
          <w:lang w:eastAsia="cs-CZ"/>
        </w:rPr>
      </w:pPr>
      <w:r w:rsidRPr="006470B4">
        <w:rPr>
          <w:rFonts w:ascii="Arial" w:eastAsia="Times New Roman" w:hAnsi="Arial" w:cs="Arial"/>
          <w:color w:val="000000"/>
          <w:sz w:val="20"/>
          <w:szCs w:val="20"/>
          <w:lang w:eastAsia="cs-CZ"/>
        </w:rPr>
        <w:t xml:space="preserve">Při stanovení určitého kritéria pro vymezení okruhu účastníků v případě stavby, která může mít vliv na široké okolí, nelze takové kritérium měřit pouze hlediskem hospodárnosti a okruh účastníků limitovat stanovením </w:t>
      </w:r>
      <w:proofErr w:type="spellStart"/>
      <w:r w:rsidRPr="006470B4">
        <w:rPr>
          <w:rFonts w:ascii="Arial" w:eastAsia="Times New Roman" w:hAnsi="Arial" w:cs="Arial"/>
          <w:color w:val="000000"/>
          <w:sz w:val="20"/>
          <w:szCs w:val="20"/>
          <w:lang w:eastAsia="cs-CZ"/>
        </w:rPr>
        <w:t>odstupové</w:t>
      </w:r>
      <w:proofErr w:type="spellEnd"/>
      <w:r w:rsidRPr="006470B4">
        <w:rPr>
          <w:rFonts w:ascii="Arial" w:eastAsia="Times New Roman" w:hAnsi="Arial" w:cs="Arial"/>
          <w:color w:val="000000"/>
          <w:sz w:val="20"/>
          <w:szCs w:val="20"/>
          <w:lang w:eastAsia="cs-CZ"/>
        </w:rPr>
        <w:t xml:space="preserve"> hranice vyjádřené v metrech bez přihlédnutí k ostatním vlivům. Samotná náročnost takového posuzování nemůže být dostatečným ospravedlněním pro vyloučení osob z okruhu možných účastníků řízení a nemůže obstát zásada „hospodárnosti“ či procesní ekonomie. Poměřuje-li stavební úřad práva dotčených osob a administrativní náročnost řízení, nemůže se přiklonit k variantě druhé. Lze-li možné přímé dotčení na právech shledat u širokého okruhu osob, nutno zvolit i tomu odpovídající formu vedení takového řízení, nemůže však být zužován prostor pro ochranu ústavně zaručených práv.</w:t>
      </w:r>
    </w:p>
    <w:p w:rsidR="006470B4" w:rsidRPr="006470B4" w:rsidRDefault="006470B4" w:rsidP="006470B4">
      <w:pPr>
        <w:shd w:val="clear" w:color="auto" w:fill="FFFFFF"/>
        <w:spacing w:before="60" w:after="0" w:line="225" w:lineRule="atLeast"/>
        <w:rPr>
          <w:rFonts w:ascii="Arial" w:eastAsia="Times New Roman" w:hAnsi="Arial" w:cs="Arial"/>
          <w:color w:val="000000"/>
          <w:sz w:val="19"/>
          <w:szCs w:val="19"/>
          <w:lang w:eastAsia="cs-CZ"/>
        </w:rPr>
      </w:pPr>
      <w:r w:rsidRPr="006470B4">
        <w:rPr>
          <w:rFonts w:ascii="Arial" w:eastAsia="Times New Roman" w:hAnsi="Arial" w:cs="Arial"/>
          <w:color w:val="000000"/>
          <w:sz w:val="20"/>
          <w:szCs w:val="20"/>
          <w:lang w:eastAsia="cs-CZ"/>
        </w:rPr>
        <w:t>V rozsudku se Nejvyšší správní soud věnuje i vymezení pojmu "</w:t>
      </w:r>
      <w:r w:rsidRPr="006470B4">
        <w:rPr>
          <w:rFonts w:ascii="Arial" w:eastAsia="Times New Roman" w:hAnsi="Arial" w:cs="Arial"/>
          <w:i/>
          <w:iCs/>
          <w:color w:val="000000"/>
          <w:sz w:val="20"/>
          <w:szCs w:val="20"/>
          <w:lang w:eastAsia="cs-CZ"/>
        </w:rPr>
        <w:t>přímé dotčení pozemku nebo stavby</w:t>
      </w:r>
      <w:r w:rsidRPr="006470B4">
        <w:rPr>
          <w:rFonts w:ascii="Arial" w:eastAsia="Times New Roman" w:hAnsi="Arial" w:cs="Arial"/>
          <w:color w:val="000000"/>
          <w:sz w:val="20"/>
          <w:szCs w:val="20"/>
          <w:lang w:eastAsia="cs-CZ"/>
        </w:rPr>
        <w:t>“ kde např. uvádí:</w:t>
      </w:r>
    </w:p>
    <w:p w:rsidR="006470B4" w:rsidRPr="006470B4" w:rsidRDefault="006470B4" w:rsidP="006470B4">
      <w:pPr>
        <w:shd w:val="clear" w:color="auto" w:fill="FFFFFF"/>
        <w:spacing w:after="0" w:line="225" w:lineRule="atLeast"/>
        <w:jc w:val="both"/>
        <w:rPr>
          <w:rFonts w:ascii="Arial" w:eastAsia="Times New Roman" w:hAnsi="Arial" w:cs="Arial"/>
          <w:color w:val="000000"/>
          <w:sz w:val="19"/>
          <w:szCs w:val="19"/>
          <w:lang w:eastAsia="cs-CZ"/>
        </w:rPr>
      </w:pPr>
      <w:r w:rsidRPr="006470B4">
        <w:rPr>
          <w:rFonts w:ascii="Arial" w:eastAsia="Times New Roman" w:hAnsi="Arial" w:cs="Arial"/>
          <w:i/>
          <w:iCs/>
          <w:color w:val="000000"/>
          <w:sz w:val="20"/>
          <w:szCs w:val="20"/>
          <w:lang w:eastAsia="cs-CZ"/>
        </w:rPr>
        <w:t xml:space="preserve">Za účastníka řízení je třeba považovat i vlastníka sousedního pozemku v případě, že stavební úřad dojde k závěru, že jeho vlastnické nebo jiné věcné právo k pozemku nebo stavbě může být rozhodnutím vzhledem k velikosti stavebního pozemku a umístění stavby na něm, </w:t>
      </w:r>
      <w:proofErr w:type="spellStart"/>
      <w:r w:rsidRPr="006470B4">
        <w:rPr>
          <w:rFonts w:ascii="Arial" w:eastAsia="Times New Roman" w:hAnsi="Arial" w:cs="Arial"/>
          <w:i/>
          <w:iCs/>
          <w:color w:val="000000"/>
          <w:sz w:val="20"/>
          <w:szCs w:val="20"/>
          <w:lang w:eastAsia="cs-CZ"/>
        </w:rPr>
        <w:t>odstupovým</w:t>
      </w:r>
      <w:proofErr w:type="spellEnd"/>
      <w:r w:rsidRPr="006470B4">
        <w:rPr>
          <w:rFonts w:ascii="Arial" w:eastAsia="Times New Roman" w:hAnsi="Arial" w:cs="Arial"/>
          <w:i/>
          <w:iCs/>
          <w:color w:val="000000"/>
          <w:sz w:val="20"/>
          <w:szCs w:val="20"/>
          <w:lang w:eastAsia="cs-CZ"/>
        </w:rPr>
        <w:t xml:space="preserve"> vzdálenostem, rozměrům stavby, účelu jejího užívání atd., přímo dotčeno. Je třeba se proto nejprve pokusit o vymezení pojmu přímé dotčení pozemku nebo stavby. Přímým dotčením lze nepochybně rozumět především dotčení stíněním, hlukem, prachem, pachem, zápachem, kouřem, vibracemi, světlem apod., tj. různé imise ( § 127 odst. 1 </w:t>
      </w:r>
      <w:proofErr w:type="spellStart"/>
      <w:r w:rsidRPr="006470B4">
        <w:rPr>
          <w:rFonts w:ascii="Arial" w:eastAsia="Times New Roman" w:hAnsi="Arial" w:cs="Arial"/>
          <w:i/>
          <w:iCs/>
          <w:color w:val="000000"/>
          <w:sz w:val="20"/>
          <w:szCs w:val="20"/>
          <w:lang w:eastAsia="cs-CZ"/>
        </w:rPr>
        <w:t>obč</w:t>
      </w:r>
      <w:proofErr w:type="spellEnd"/>
      <w:r w:rsidRPr="006470B4">
        <w:rPr>
          <w:rFonts w:ascii="Arial" w:eastAsia="Times New Roman" w:hAnsi="Arial" w:cs="Arial"/>
          <w:i/>
          <w:iCs/>
          <w:color w:val="000000"/>
          <w:sz w:val="20"/>
          <w:szCs w:val="20"/>
          <w:lang w:eastAsia="cs-CZ"/>
        </w:rPr>
        <w:t xml:space="preserve">. </w:t>
      </w:r>
      <w:proofErr w:type="gramStart"/>
      <w:r w:rsidRPr="006470B4">
        <w:rPr>
          <w:rFonts w:ascii="Arial" w:eastAsia="Times New Roman" w:hAnsi="Arial" w:cs="Arial"/>
          <w:i/>
          <w:iCs/>
          <w:color w:val="000000"/>
          <w:sz w:val="20"/>
          <w:szCs w:val="20"/>
          <w:lang w:eastAsia="cs-CZ"/>
        </w:rPr>
        <w:t>zák.</w:t>
      </w:r>
      <w:proofErr w:type="gramEnd"/>
      <w:r w:rsidRPr="006470B4">
        <w:rPr>
          <w:rFonts w:ascii="Arial" w:eastAsia="Times New Roman" w:hAnsi="Arial" w:cs="Arial"/>
          <w:i/>
          <w:iCs/>
          <w:color w:val="000000"/>
          <w:sz w:val="20"/>
          <w:szCs w:val="20"/>
          <w:lang w:eastAsia="cs-CZ"/>
        </w:rPr>
        <w:t xml:space="preserve">). Imisemi se obecně rozumí výkon vlastnického práva, kterým se zasahuje do cizího vlastnického nebo jiného práva nad míru přiměřenou poměrům (viz shora citované ustanovení </w:t>
      </w:r>
      <w:proofErr w:type="spellStart"/>
      <w:r w:rsidRPr="006470B4">
        <w:rPr>
          <w:rFonts w:ascii="Arial" w:eastAsia="Times New Roman" w:hAnsi="Arial" w:cs="Arial"/>
          <w:i/>
          <w:iCs/>
          <w:color w:val="000000"/>
          <w:sz w:val="20"/>
          <w:szCs w:val="20"/>
          <w:lang w:eastAsia="cs-CZ"/>
        </w:rPr>
        <w:t>obč</w:t>
      </w:r>
      <w:proofErr w:type="spellEnd"/>
      <w:r w:rsidRPr="006470B4">
        <w:rPr>
          <w:rFonts w:ascii="Arial" w:eastAsia="Times New Roman" w:hAnsi="Arial" w:cs="Arial"/>
          <w:i/>
          <w:iCs/>
          <w:color w:val="000000"/>
          <w:sz w:val="20"/>
          <w:szCs w:val="20"/>
          <w:lang w:eastAsia="cs-CZ"/>
        </w:rPr>
        <w:t xml:space="preserve">. zák. podle kterého: „Vlastník věci se musí zdržet všeho, čím by nad míru přiměřenou obtěžoval jiného nebo čím by vážně ohrožoval výkon jeho práv... Nesmí ... nad míru přiměřenou poměrům obtěžovat sousedy hlukem, prachem, popílkem, kouřem, plyny, parami, </w:t>
      </w:r>
      <w:proofErr w:type="gramStart"/>
      <w:r w:rsidRPr="006470B4">
        <w:rPr>
          <w:rFonts w:ascii="Arial" w:eastAsia="Times New Roman" w:hAnsi="Arial" w:cs="Arial"/>
          <w:i/>
          <w:iCs/>
          <w:color w:val="000000"/>
          <w:sz w:val="20"/>
          <w:szCs w:val="20"/>
          <w:lang w:eastAsia="cs-CZ"/>
        </w:rPr>
        <w:t>pachy, ...stíněním</w:t>
      </w:r>
      <w:proofErr w:type="gramEnd"/>
      <w:r w:rsidRPr="006470B4">
        <w:rPr>
          <w:rFonts w:ascii="Arial" w:eastAsia="Times New Roman" w:hAnsi="Arial" w:cs="Arial"/>
          <w:i/>
          <w:iCs/>
          <w:color w:val="000000"/>
          <w:sz w:val="20"/>
          <w:szCs w:val="20"/>
          <w:lang w:eastAsia="cs-CZ"/>
        </w:rPr>
        <w:t xml:space="preserve"> a vibracemi ...“). Přímým dotčením sousedních nemovitostí může být např. jejich dotčení zvýšenou intenzitou dopravy v místě stavby vzhledem k jejímu účelu.</w:t>
      </w:r>
    </w:p>
    <w:p w:rsidR="006470B4" w:rsidRPr="006470B4" w:rsidRDefault="006470B4" w:rsidP="006470B4">
      <w:pPr>
        <w:shd w:val="clear" w:color="auto" w:fill="FFFFFF"/>
        <w:spacing w:after="0" w:line="240" w:lineRule="auto"/>
        <w:rPr>
          <w:rFonts w:ascii="Arial" w:eastAsia="Times New Roman" w:hAnsi="Arial" w:cs="Arial"/>
          <w:color w:val="000000"/>
          <w:sz w:val="19"/>
          <w:szCs w:val="19"/>
          <w:lang w:eastAsia="cs-CZ"/>
        </w:rPr>
      </w:pPr>
      <w:r w:rsidRPr="006470B4">
        <w:rPr>
          <w:rFonts w:ascii="Arial" w:eastAsia="Times New Roman" w:hAnsi="Arial" w:cs="Arial"/>
          <w:i/>
          <w:iCs/>
          <w:color w:val="000000"/>
          <w:sz w:val="20"/>
          <w:szCs w:val="20"/>
          <w:lang w:eastAsia="cs-CZ"/>
        </w:rPr>
        <w:t xml:space="preserve">Naproti tomu není zcela zřejmé, zda lze za přímé dotčení sousední nemovitosti považovat např. výrazné zhoršení nebo úplné odejmutí stávajícího výhledu ze sousedního pozemku nebo stavby nově umisťovanou stavbou, byť by </w:t>
      </w:r>
      <w:proofErr w:type="spellStart"/>
      <w:r w:rsidRPr="006470B4">
        <w:rPr>
          <w:rFonts w:ascii="Arial" w:eastAsia="Times New Roman" w:hAnsi="Arial" w:cs="Arial"/>
          <w:i/>
          <w:iCs/>
          <w:color w:val="000000"/>
          <w:sz w:val="20"/>
          <w:szCs w:val="20"/>
          <w:lang w:eastAsia="cs-CZ"/>
        </w:rPr>
        <w:t>odstupové</w:t>
      </w:r>
      <w:proofErr w:type="spellEnd"/>
      <w:r w:rsidRPr="006470B4">
        <w:rPr>
          <w:rFonts w:ascii="Arial" w:eastAsia="Times New Roman" w:hAnsi="Arial" w:cs="Arial"/>
          <w:i/>
          <w:iCs/>
          <w:color w:val="000000"/>
          <w:sz w:val="20"/>
          <w:szCs w:val="20"/>
          <w:lang w:eastAsia="cs-CZ"/>
        </w:rPr>
        <w:t xml:space="preserve"> vzdálenosti staveb stanovené prováděcí vyhláškou ke stavebnímu zákonu byly dodrženy. Takto lze otázku položit zjevně i   v případě stěžovatelem tvrzeného dotčení v důsledku snížení tržní hodnoty nemovitosti nebo změny krajinného rázu (ve výhledu). Svým charakterem je takové „dotčení“ nepochybně odlišné od předchozí řady případů shora uvedených, kdy jde nesporně vždy o přímé dotčení.</w:t>
      </w:r>
    </w:p>
    <w:p w:rsidR="006470B4" w:rsidRPr="006470B4" w:rsidRDefault="006470B4" w:rsidP="006470B4">
      <w:pPr>
        <w:shd w:val="clear" w:color="auto" w:fill="FFFFFF"/>
        <w:spacing w:after="0" w:line="1" w:lineRule="atLeast"/>
        <w:rPr>
          <w:rFonts w:ascii="Arial" w:eastAsia="Times New Roman" w:hAnsi="Arial" w:cs="Arial"/>
          <w:color w:val="000000"/>
          <w:sz w:val="9"/>
          <w:szCs w:val="9"/>
          <w:lang w:eastAsia="cs-CZ"/>
        </w:rPr>
      </w:pPr>
      <w:r w:rsidRPr="006470B4">
        <w:rPr>
          <w:rFonts w:ascii="Arial" w:eastAsia="Times New Roman" w:hAnsi="Arial" w:cs="Arial"/>
          <w:color w:val="000000"/>
          <w:sz w:val="9"/>
          <w:szCs w:val="9"/>
          <w:lang w:eastAsia="cs-CZ"/>
        </w:rPr>
        <w:t> </w:t>
      </w:r>
    </w:p>
    <w:p w:rsidR="006365E1" w:rsidRDefault="006365E1"/>
    <w:sectPr w:rsidR="00636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B4"/>
    <w:rsid w:val="006365E1"/>
    <w:rsid w:val="00647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D5365-77B9-4495-8473-69EE1298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470B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470B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6470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47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5918">
      <w:bodyDiv w:val="1"/>
      <w:marLeft w:val="0"/>
      <w:marRight w:val="0"/>
      <w:marTop w:val="0"/>
      <w:marBottom w:val="0"/>
      <w:divBdr>
        <w:top w:val="none" w:sz="0" w:space="0" w:color="auto"/>
        <w:left w:val="none" w:sz="0" w:space="0" w:color="auto"/>
        <w:bottom w:val="none" w:sz="0" w:space="0" w:color="auto"/>
        <w:right w:val="none" w:sz="0" w:space="0" w:color="auto"/>
      </w:divBdr>
      <w:divsChild>
        <w:div w:id="1767774122">
          <w:marLeft w:val="0"/>
          <w:marRight w:val="0"/>
          <w:marTop w:val="0"/>
          <w:marBottom w:val="0"/>
          <w:divBdr>
            <w:top w:val="none" w:sz="0" w:space="0" w:color="auto"/>
            <w:left w:val="none" w:sz="0" w:space="0" w:color="auto"/>
            <w:bottom w:val="none" w:sz="0" w:space="0" w:color="auto"/>
            <w:right w:val="none" w:sz="0" w:space="0" w:color="auto"/>
          </w:divBdr>
          <w:divsChild>
            <w:div w:id="1236546263">
              <w:marLeft w:val="0"/>
              <w:marRight w:val="0"/>
              <w:marTop w:val="0"/>
              <w:marBottom w:val="0"/>
              <w:divBdr>
                <w:top w:val="none" w:sz="0" w:space="0" w:color="auto"/>
                <w:left w:val="none" w:sz="0" w:space="0" w:color="auto"/>
                <w:bottom w:val="none" w:sz="0" w:space="0" w:color="auto"/>
                <w:right w:val="none" w:sz="0" w:space="0" w:color="auto"/>
              </w:divBdr>
              <w:divsChild>
                <w:div w:id="18136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0508">
          <w:marLeft w:val="0"/>
          <w:marRight w:val="0"/>
          <w:marTop w:val="0"/>
          <w:marBottom w:val="0"/>
          <w:divBdr>
            <w:top w:val="none" w:sz="0" w:space="0" w:color="auto"/>
            <w:left w:val="none" w:sz="0" w:space="0" w:color="auto"/>
            <w:bottom w:val="none" w:sz="0" w:space="0" w:color="auto"/>
            <w:right w:val="none" w:sz="0" w:space="0" w:color="auto"/>
          </w:divBdr>
        </w:div>
        <w:div w:id="479343057">
          <w:marLeft w:val="0"/>
          <w:marRight w:val="0"/>
          <w:marTop w:val="0"/>
          <w:marBottom w:val="0"/>
          <w:divBdr>
            <w:top w:val="none" w:sz="0" w:space="0" w:color="auto"/>
            <w:left w:val="none" w:sz="0" w:space="0" w:color="auto"/>
            <w:bottom w:val="none" w:sz="0" w:space="0" w:color="auto"/>
            <w:right w:val="none" w:sz="0" w:space="0" w:color="auto"/>
          </w:divBdr>
        </w:div>
        <w:div w:id="530453886">
          <w:marLeft w:val="0"/>
          <w:marRight w:val="0"/>
          <w:marTop w:val="0"/>
          <w:marBottom w:val="0"/>
          <w:divBdr>
            <w:top w:val="none" w:sz="0" w:space="0" w:color="auto"/>
            <w:left w:val="none" w:sz="0" w:space="0" w:color="auto"/>
            <w:bottom w:val="none" w:sz="0" w:space="0" w:color="auto"/>
            <w:right w:val="none" w:sz="0" w:space="0" w:color="auto"/>
          </w:divBdr>
          <w:divsChild>
            <w:div w:id="782118704">
              <w:marLeft w:val="0"/>
              <w:marRight w:val="0"/>
              <w:marTop w:val="0"/>
              <w:marBottom w:val="0"/>
              <w:divBdr>
                <w:top w:val="none" w:sz="0" w:space="0" w:color="auto"/>
                <w:left w:val="none" w:sz="0" w:space="0" w:color="auto"/>
                <w:bottom w:val="none" w:sz="0" w:space="0" w:color="auto"/>
                <w:right w:val="none" w:sz="0" w:space="0" w:color="auto"/>
              </w:divBdr>
            </w:div>
            <w:div w:id="13539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soud.cz/" TargetMode="External"/><Relationship Id="rId4" Type="http://schemas.openxmlformats.org/officeDocument/2006/relationships/hyperlink" Target="http://www.nssoud.cz/main2col.aspx?cls=EvidencniListVety&amp;evl_id=11275&amp;menu=18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2842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Jirásek Petr Mgr.</dc:creator>
  <cp:keywords/>
  <dc:description/>
  <cp:lastModifiedBy>Jirásek Petr Mgr.</cp:lastModifiedBy>
  <cp:revision>1</cp:revision>
  <dcterms:created xsi:type="dcterms:W3CDTF">2021-01-11T13:28:00Z</dcterms:created>
  <dcterms:modified xsi:type="dcterms:W3CDTF">2021-01-11T13:29:00Z</dcterms:modified>
</cp:coreProperties>
</file>